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230"/>
      </w:tblGrid>
      <w:tr w:rsidR="00C27844" w:rsidRPr="00707812" w:rsidTr="00715AB2">
        <w:trPr>
          <w:cantSplit/>
          <w:trHeight w:hRule="exact" w:val="1123"/>
        </w:trPr>
        <w:tc>
          <w:tcPr>
            <w:tcW w:w="2347" w:type="dxa"/>
          </w:tcPr>
          <w:p w:rsidR="00C27844" w:rsidRPr="00707812" w:rsidRDefault="00C27844" w:rsidP="00715AB2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5626511D" wp14:editId="1702A05A">
                  <wp:extent cx="1120775" cy="669925"/>
                  <wp:effectExtent l="0" t="0" r="3175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6992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C27844" w:rsidRPr="00707812" w:rsidRDefault="00C27844" w:rsidP="0071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it-IT"/>
              </w:rPr>
            </w:pPr>
          </w:p>
          <w:p w:rsidR="00C27844" w:rsidRPr="00707812" w:rsidRDefault="00C27844" w:rsidP="0071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Dipartimento </w:t>
            </w:r>
            <w:r w:rsidRPr="00707812">
              <w:rPr>
                <w:rFonts w:ascii="Times New Roman" w:eastAsia="Times New Roman" w:hAnsi="Times New Roman" w:cs="Times New Roman"/>
                <w:b/>
                <w:iCs/>
                <w:color w:val="0000FF"/>
                <w:sz w:val="20"/>
                <w:szCs w:val="20"/>
                <w:lang w:eastAsia="it-IT"/>
              </w:rPr>
              <w:t>di</w:t>
            </w:r>
            <w:r w:rsidRPr="00707812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 Giurisprudenza</w:t>
            </w:r>
          </w:p>
          <w:p w:rsidR="00C27844" w:rsidRPr="00707812" w:rsidRDefault="00C27844" w:rsidP="0071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it-IT"/>
              </w:rPr>
            </w:pPr>
          </w:p>
        </w:tc>
      </w:tr>
    </w:tbl>
    <w:p w:rsidR="00C27844" w:rsidRPr="00707812" w:rsidRDefault="00C27844" w:rsidP="00C278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7812">
        <w:rPr>
          <w:rFonts w:ascii="Times New Roman" w:eastAsia="Calibri" w:hAnsi="Times New Roman" w:cs="Times New Roman"/>
          <w:b/>
          <w:sz w:val="20"/>
          <w:szCs w:val="20"/>
        </w:rPr>
        <w:t>Verbale del Consiglio di Dipartimento</w:t>
      </w:r>
    </w:p>
    <w:p w:rsidR="00C27844" w:rsidRPr="00707812" w:rsidRDefault="00C27844" w:rsidP="00C278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7812">
        <w:rPr>
          <w:rFonts w:ascii="Times New Roman" w:eastAsia="Calibri" w:hAnsi="Times New Roman" w:cs="Times New Roman"/>
          <w:b/>
          <w:sz w:val="20"/>
          <w:szCs w:val="20"/>
        </w:rPr>
        <w:t>13 settembre 2017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Il giorno mercoledì  </w:t>
      </w:r>
      <w:r w:rsidRPr="0070781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13 settembre 2017, </w:t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 ore </w:t>
      </w:r>
      <w:r w:rsidRPr="0070781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14,30, </w:t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presso la Sala del Consiglio, sita in </w:t>
      </w:r>
      <w:r w:rsidRPr="0070781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Ostiense 163, I piano</w:t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707812">
        <w:rPr>
          <w:rFonts w:ascii="Times New Roman" w:eastAsia="Calibri" w:hAnsi="Times New Roman" w:cs="Times New Roman"/>
          <w:color w:val="000000"/>
          <w:sz w:val="20"/>
          <w:szCs w:val="20"/>
        </w:rPr>
        <w:t>si riunisce il Consiglio di Dipartimento di Giurisprudenza per discutere il seguente ordine del giorno</w:t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Comunicazioni 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Approvazione verbale seduta precedente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 xml:space="preserve">Conferimento contratti supporto alla didattica I semestre </w:t>
      </w:r>
      <w:proofErr w:type="spellStart"/>
      <w:r w:rsidRPr="00707812">
        <w:rPr>
          <w:rFonts w:ascii="Times New Roman" w:hAnsi="Times New Roman" w:cs="Times New Roman"/>
          <w:sz w:val="20"/>
          <w:szCs w:val="20"/>
          <w:lang w:eastAsia="it-IT"/>
        </w:rPr>
        <w:t>a.a</w:t>
      </w:r>
      <w:proofErr w:type="spellEnd"/>
      <w:r w:rsidRPr="00707812">
        <w:rPr>
          <w:rFonts w:ascii="Times New Roman" w:hAnsi="Times New Roman" w:cs="Times New Roman"/>
          <w:sz w:val="20"/>
          <w:szCs w:val="20"/>
          <w:lang w:eastAsia="it-IT"/>
        </w:rPr>
        <w:t>. 2017/2018</w:t>
      </w:r>
    </w:p>
    <w:p w:rsidR="00C27844" w:rsidRPr="00707812" w:rsidRDefault="00C27844" w:rsidP="00C278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/>
          <w:sz w:val="20"/>
          <w:szCs w:val="20"/>
          <w:lang w:eastAsia="it-IT"/>
        </w:rPr>
        <w:t xml:space="preserve">Approvazione Protocollo Applicativo per la Mobilità Studenti (Dipartimento di Giurisprudenza e </w:t>
      </w:r>
      <w:proofErr w:type="spellStart"/>
      <w:r w:rsidRPr="00707812">
        <w:rPr>
          <w:rFonts w:ascii="Times New Roman" w:hAnsi="Times New Roman"/>
          <w:sz w:val="20"/>
          <w:szCs w:val="20"/>
        </w:rPr>
        <w:t>Fundaçäo</w:t>
      </w:r>
      <w:proofErr w:type="spellEnd"/>
      <w:r w:rsidRPr="007078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7812">
        <w:rPr>
          <w:rFonts w:ascii="Times New Roman" w:hAnsi="Times New Roman"/>
          <w:sz w:val="20"/>
          <w:szCs w:val="20"/>
        </w:rPr>
        <w:t>Escola</w:t>
      </w:r>
      <w:proofErr w:type="spellEnd"/>
      <w:r w:rsidRPr="0070781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707812">
        <w:rPr>
          <w:rFonts w:ascii="Times New Roman" w:hAnsi="Times New Roman"/>
          <w:sz w:val="20"/>
          <w:szCs w:val="20"/>
        </w:rPr>
        <w:t>Superior</w:t>
      </w:r>
      <w:proofErr w:type="spellEnd"/>
      <w:r w:rsidRPr="00707812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707812">
        <w:rPr>
          <w:rFonts w:ascii="Times New Roman" w:hAnsi="Times New Roman"/>
          <w:sz w:val="20"/>
          <w:szCs w:val="20"/>
        </w:rPr>
        <w:t>Ministério</w:t>
      </w:r>
      <w:proofErr w:type="spellEnd"/>
      <w:r w:rsidRPr="007078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7812">
        <w:rPr>
          <w:rFonts w:ascii="Times New Roman" w:hAnsi="Times New Roman"/>
          <w:sz w:val="20"/>
          <w:szCs w:val="20"/>
        </w:rPr>
        <w:t>Público</w:t>
      </w:r>
      <w:proofErr w:type="spellEnd"/>
      <w:r w:rsidRPr="00707812">
        <w:rPr>
          <w:rFonts w:ascii="Times New Roman" w:hAnsi="Times New Roman"/>
          <w:sz w:val="20"/>
          <w:szCs w:val="20"/>
        </w:rPr>
        <w:t xml:space="preserve">  do  </w:t>
      </w:r>
      <w:proofErr w:type="spellStart"/>
      <w:r w:rsidRPr="00707812">
        <w:rPr>
          <w:rFonts w:ascii="Times New Roman" w:hAnsi="Times New Roman"/>
          <w:sz w:val="20"/>
          <w:szCs w:val="20"/>
        </w:rPr>
        <w:t>Estado</w:t>
      </w:r>
      <w:proofErr w:type="spellEnd"/>
      <w:r w:rsidRPr="00707812">
        <w:rPr>
          <w:rFonts w:ascii="Times New Roman" w:hAnsi="Times New Roman"/>
          <w:sz w:val="20"/>
          <w:szCs w:val="20"/>
        </w:rPr>
        <w:t xml:space="preserve"> do Rio  Grande do Sul - Brasile)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Fondo di incentivazione 2018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Pubblicazioni del Dipartimento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>Variazioni di budget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>Dottorato di Ricerca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>Assegni di Ricerca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>Richieste studenti.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>Pratiche studenti.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hAnsi="Times New Roman" w:cs="Times New Roman"/>
          <w:sz w:val="20"/>
          <w:szCs w:val="20"/>
          <w:lang w:eastAsia="it-IT"/>
        </w:rPr>
        <w:t>Cultori della materia</w:t>
      </w:r>
    </w:p>
    <w:p w:rsidR="00C27844" w:rsidRPr="00707812" w:rsidRDefault="00C27844" w:rsidP="00C27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Varie ed eventuali.</w:t>
      </w:r>
    </w:p>
    <w:p w:rsidR="00C27844" w:rsidRPr="00707812" w:rsidRDefault="00C27844" w:rsidP="00C2784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Sono presenti, oltre al Direttore, prof. Serges, i professori di I fascia: Alvazzi Del Frate,  Benvenuti, Bises, Caggiano, Carnevale,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Carratta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, Celotto, Conte, Di Blase,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Fantappiè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>, Granaglia, Grisi, Loschiavo, Luparia Donati,  Macario, Mannino, Marafioti, Morviducci,  Napolitano, Rimoli, Ruotolo, Tinelli, Torchia,  Trapani, Zeno-Zencovich;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>Sono presenti i professori di II fascia: Bartolini, Battelli, Benigni, Bertolotti, Del Gatto, De Santis, Fontana,  Frontoni, Gambacciani, Ginebri, Massaro, Masucci, Pessi, Pistorio, Resta, Rigo, Rossetti,   Sperandio, Spoto;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Sono presenti i ricercatori a tempo indeterminato: Chiantini,  Del Vescovo, Di Paolo, Moschetta, Piccininni,  Sinisi; sono presenti i ricercatori a tempo determinato: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Chinni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>,  Dinelli, Mezzanotte;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Sono presenti i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rapp.nti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 degli Studenti: Albani,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Coccioloni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, Di Costa, Facchinetti, Lista, Nicolò, Svolacchia; sono presenti, i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rapp.nti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 del personale TAB: Cantarella, Melograno, Netri e Nicolao;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>Sono altresì presenti la dott.ssa De Vito, Segretario per la Didattica, la  dott.ssa Santilli, Segretario Amministrativo e per la Ricerca,  ciascuna  verbalizzante per la parte di sua competenza.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E’ assente giustificata  per aspettativa ex art. 7, comma 1, L. 240/10  la dott.  Elisa Picozza. </w:t>
      </w:r>
    </w:p>
    <w:p w:rsidR="00C27844" w:rsidRPr="00707812" w:rsidRDefault="00C27844" w:rsidP="00C2784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Hanno giustificato la propria assenza i professori: Bussoletti, Catenacci, Clarizia, Costantino, Fascione, Felli,  Guaccero, Ruffini, Colangelo, Cortese, Di Marcello, Girelli, Ippolito, Lottini,  Sossai, Vardi; i ricercatori: Bertoldi,  Lepore, Merenda, Scialà, Spitzmiller,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Farì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Non hanno giustificato la propria assenza: i professori Cardi, Colapietro, Fortunato, Gentili,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Mezzetti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07812">
        <w:rPr>
          <w:rFonts w:ascii="Times New Roman" w:eastAsia="Calibri" w:hAnsi="Times New Roman" w:cs="Times New Roman"/>
          <w:sz w:val="20"/>
          <w:szCs w:val="20"/>
        </w:rPr>
        <w:t>Proia</w:t>
      </w:r>
      <w:proofErr w:type="spellEnd"/>
      <w:r w:rsidRPr="00707812">
        <w:rPr>
          <w:rFonts w:ascii="Times New Roman" w:eastAsia="Calibri" w:hAnsi="Times New Roman" w:cs="Times New Roman"/>
          <w:sz w:val="20"/>
          <w:szCs w:val="20"/>
        </w:rPr>
        <w:t>, Sandulli, Zoppini,  Gemma, Menzinger di Preussenthal, Rojas Elgueta; i ricercatori: da Empoli, Mencarelli, Robinson.</w:t>
      </w: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Constatata la presenza del numero legale, il Direttore dichiara aperta la riunione.</w:t>
      </w:r>
    </w:p>
    <w:p w:rsidR="00C27844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Default="00C27844" w:rsidP="00C2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(omissis)</w:t>
      </w:r>
    </w:p>
    <w:p w:rsidR="00C27844" w:rsidRPr="00707812" w:rsidRDefault="00C27844" w:rsidP="00C27844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44" w:rsidRPr="00707812" w:rsidRDefault="00C27844" w:rsidP="00C27844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  <w:r w:rsidRPr="00707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Conferimento contratti supporto alla didattica  I semestre  </w:t>
      </w:r>
      <w:proofErr w:type="spellStart"/>
      <w:r w:rsidRPr="00707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a.a</w:t>
      </w:r>
      <w:proofErr w:type="spellEnd"/>
      <w:r w:rsidRPr="00707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 2017/2018</w:t>
      </w:r>
    </w:p>
    <w:p w:rsidR="00C27844" w:rsidRPr="00707812" w:rsidRDefault="00C27844" w:rsidP="00C27844">
      <w:pPr>
        <w:tabs>
          <w:tab w:val="center" w:pos="9923"/>
        </w:tabs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/>
          <w:smallCaps/>
          <w:color w:val="000000"/>
          <w:kern w:val="28"/>
          <w:sz w:val="20"/>
          <w:szCs w:val="20"/>
          <w:lang w:val="x-none"/>
        </w:rPr>
      </w:pP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Il 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Direttore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ricorda che  il Consiglio di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Dipartimento,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nella seduta del 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14 giugno 2017,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ha  approvato la pubblicazione dei bandi per il conferimento dei contratti destinati alle attività didattiche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di supporto 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per il 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I</w:t>
      </w:r>
      <w:r w:rsidRPr="00707812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 semestre dell’anno accademico 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2017/2018.</w:t>
      </w:r>
    </w:p>
    <w:p w:rsidR="00C27844" w:rsidRPr="00707812" w:rsidRDefault="00C27844" w:rsidP="00C2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Il  Direttore rende noto che le Commissioni - finalizzate alla selezione dei candidati e nominate con  proprio provvedimento  - hanno ultimato i lavori di selezione dei candidati e depositato i relativi verbali  presso gli Uffici dell’Area Didattica del Dipartimento. </w:t>
      </w:r>
    </w:p>
    <w:p w:rsidR="00C27844" w:rsidRPr="00707812" w:rsidRDefault="00C27844" w:rsidP="00C2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Direttore dà quindi lettura dei risultati delle suddette selezioni.</w:t>
      </w:r>
    </w:p>
    <w:p w:rsidR="00C27844" w:rsidRPr="00707812" w:rsidRDefault="00C27844" w:rsidP="00C278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5103"/>
        <w:gridCol w:w="2410"/>
      </w:tblGrid>
      <w:tr w:rsidR="00C27844" w:rsidRPr="00707812" w:rsidTr="00715AB2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BANDO  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Corso ufficiale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candidati</w:t>
            </w:r>
          </w:p>
        </w:tc>
      </w:tr>
      <w:tr w:rsidR="00C27844" w:rsidRPr="00707812" w:rsidTr="00715AB2">
        <w:trPr>
          <w:trHeight w:val="2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del Diritto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Diritti e poteri nelle dottrine del contratto sociale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SCOGNAMIGLIO Carlo  </w:t>
            </w:r>
          </w:p>
        </w:tc>
      </w:tr>
      <w:tr w:rsidR="00C27844" w:rsidRPr="00707812" w:rsidTr="00715AB2">
        <w:trPr>
          <w:trHeight w:val="20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del Diritto 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Teoria dei Diritti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MASTROMARTINO Fabrizio  </w:t>
            </w:r>
          </w:p>
        </w:tc>
      </w:tr>
      <w:tr w:rsidR="00C27844" w:rsidRPr="00707812" w:rsidTr="00715AB2">
        <w:trPr>
          <w:trHeight w:val="221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Istituzioni di Diritto Pubblico</w:t>
            </w:r>
          </w:p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(A-D)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Profili costituzionali della democrazia interna dei partiti politici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PASCARELLI Andrea  </w:t>
            </w:r>
          </w:p>
        </w:tc>
      </w:tr>
      <w:tr w:rsidR="00C27844" w:rsidRPr="00707812" w:rsidTr="00715AB2">
        <w:trPr>
          <w:trHeight w:val="23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Statuto delle opposizioni parlamentari e democrazia maggioritaria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ANTONUZZO Andrea  </w:t>
            </w:r>
          </w:p>
        </w:tc>
      </w:tr>
      <w:tr w:rsidR="00C27844" w:rsidRPr="00707812" w:rsidTr="00715AB2">
        <w:trPr>
          <w:trHeight w:val="87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Istituzioni di Diritto Pubblico </w:t>
            </w:r>
          </w:p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(E-O)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Salute e privacy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CAREDDA Marta</w:t>
            </w:r>
          </w:p>
        </w:tc>
      </w:tr>
      <w:tr w:rsidR="00C27844" w:rsidRPr="00707812" w:rsidTr="00715AB2">
        <w:trPr>
          <w:trHeight w:val="11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Bilanciamento fra valori nella giurisprudenza costituzionale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BARBARESCHI Simone </w:t>
            </w:r>
          </w:p>
        </w:tc>
      </w:tr>
      <w:tr w:rsidR="00C27844" w:rsidRPr="00707812" w:rsidTr="00715AB2">
        <w:trPr>
          <w:trHeight w:val="11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Vincoli di bilancio e giurisprudenza costituzionale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PACE Leonardo</w:t>
            </w:r>
          </w:p>
        </w:tc>
      </w:tr>
      <w:tr w:rsidR="00C27844" w:rsidRPr="00707812" w:rsidTr="00715AB2">
        <w:trPr>
          <w:trHeight w:val="11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Tecniche decisorie della Corte costituzionale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GIUBILEI Andrea</w:t>
            </w:r>
          </w:p>
        </w:tc>
      </w:tr>
      <w:tr w:rsidR="00C27844" w:rsidRPr="00707812" w:rsidTr="00715AB2">
        <w:trPr>
          <w:trHeight w:val="11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Istituzioni di Diritto Pubblico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tutela sovranazionale dei diritti fra Carte e Corti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DEL VECCHIO Ilaria</w:t>
            </w:r>
          </w:p>
        </w:tc>
      </w:tr>
      <w:tr w:rsidR="00C27844" w:rsidRPr="00707812" w:rsidTr="00715AB2">
        <w:trPr>
          <w:trHeight w:val="20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Privato Romano (A-D)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Sviluppo della disciplina della donazione in età tardoantica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MIGLIORINO Alessandra</w:t>
            </w:r>
          </w:p>
        </w:tc>
      </w:tr>
      <w:tr w:rsidR="00C27844" w:rsidRPr="00707812" w:rsidTr="00715AB2">
        <w:trPr>
          <w:trHeight w:val="225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Privato Romano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pricipio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emptione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dominium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transfertur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diritto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pregiustinianeo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TIBERI Riccardo</w:t>
            </w:r>
          </w:p>
        </w:tc>
      </w:tr>
      <w:tr w:rsidR="00C27844" w:rsidRPr="00707812" w:rsidTr="00715AB2">
        <w:trPr>
          <w:trHeight w:val="86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Corpus e forma</w:t>
            </w: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pensiero giuridico romano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PACCHIAROTTA Mario</w:t>
            </w:r>
          </w:p>
        </w:tc>
      </w:tr>
      <w:tr w:rsidR="00C27844" w:rsidRPr="00707812" w:rsidTr="00715AB2">
        <w:trPr>
          <w:trHeight w:val="9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Proprietà del tutto e proprietà delle parti in diritto romano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MANCINI Noemi</w:t>
            </w:r>
          </w:p>
        </w:tc>
      </w:tr>
      <w:tr w:rsidR="00C27844" w:rsidRPr="00707812" w:rsidTr="00715AB2">
        <w:trPr>
          <w:trHeight w:val="19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Privato Romano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Le fonti del diritto nell’esperienza romana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GALEOTTI Sara</w:t>
            </w:r>
          </w:p>
        </w:tc>
      </w:tr>
      <w:tr w:rsidR="00C27844" w:rsidRPr="00707812" w:rsidTr="00715AB2">
        <w:trPr>
          <w:trHeight w:val="199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Il processo romano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PELLEGRINI Romina</w:t>
            </w:r>
          </w:p>
        </w:tc>
      </w:tr>
      <w:tr w:rsidR="00C27844" w:rsidRPr="00707812" w:rsidTr="00715AB2">
        <w:trPr>
          <w:trHeight w:val="216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Il contratto nell’esperienza romana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GUIDA Giovanni</w:t>
            </w:r>
          </w:p>
        </w:tc>
      </w:tr>
      <w:tr w:rsidR="00C27844" w:rsidRPr="00707812" w:rsidTr="00715AB2">
        <w:trPr>
          <w:trHeight w:val="22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familia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romana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GUARNIERI Sabrina</w:t>
            </w:r>
          </w:p>
        </w:tc>
      </w:tr>
      <w:tr w:rsidR="00C27844" w:rsidRPr="00707812" w:rsidTr="00715AB2">
        <w:trPr>
          <w:trHeight w:val="238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Privato II 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t>Gli strumenti utilizzabili per porre in essere una donazione indiretta, ex art. 809 c.c.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BELLONI Sabrina</w:t>
            </w:r>
          </w:p>
        </w:tc>
      </w:tr>
      <w:tr w:rsidR="00C27844" w:rsidRPr="00707812" w:rsidTr="00715AB2">
        <w:trPr>
          <w:trHeight w:val="24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Assegno divorzile e diritto agli alimenti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RENNA Mario</w:t>
            </w:r>
          </w:p>
        </w:tc>
      </w:tr>
      <w:tr w:rsidR="00C27844" w:rsidRPr="00707812" w:rsidTr="00715AB2">
        <w:trPr>
          <w:trHeight w:val="24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Privato II 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locazione ordinaria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VITI Valentina</w:t>
            </w:r>
          </w:p>
        </w:tc>
      </w:tr>
      <w:tr w:rsidR="00C27844" w:rsidRPr="00707812" w:rsidTr="00715AB2">
        <w:trPr>
          <w:trHeight w:val="12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Costituzionale (A-D)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tutela costituzionale dell’ambiente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CHIARIELLO Celeste</w:t>
            </w:r>
          </w:p>
        </w:tc>
      </w:tr>
      <w:tr w:rsidR="00C27844" w:rsidRPr="00707812" w:rsidTr="00715AB2">
        <w:trPr>
          <w:trHeight w:val="126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Costituzionale 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Laicità e cittadinanza a confronto nella prospettiva nazionale ed europea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ALIBERTI Cristiano </w:t>
            </w:r>
          </w:p>
        </w:tc>
      </w:tr>
      <w:tr w:rsidR="00C27844" w:rsidRPr="00707812" w:rsidTr="00715AB2">
        <w:trPr>
          <w:trHeight w:val="16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processo di riforma delle Province nella XVII legislatura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SEVERINI Andrea</w:t>
            </w:r>
          </w:p>
        </w:tc>
      </w:tr>
      <w:tr w:rsidR="00C27844" w:rsidRPr="00707812" w:rsidTr="00715AB2">
        <w:trPr>
          <w:trHeight w:val="2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Costituzionale 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Le sentenze interpretative di rigetto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TOMBA Caterina</w:t>
            </w:r>
          </w:p>
        </w:tc>
      </w:tr>
      <w:tr w:rsidR="00C27844" w:rsidRPr="00707812" w:rsidTr="00715AB2">
        <w:trPr>
          <w:trHeight w:val="15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Medievale e Moderno (A-D)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Profili della transazione penale nel Regno meridionale tardo medievale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CERRITO Marta</w:t>
            </w:r>
          </w:p>
        </w:tc>
      </w:tr>
      <w:tr w:rsidR="00C27844" w:rsidRPr="00707812" w:rsidTr="00715AB2">
        <w:trPr>
          <w:trHeight w:val="156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Il diritto al corpo del coniuge nel diritto canonico medievale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CASUCCIO Chiara</w:t>
            </w:r>
          </w:p>
        </w:tc>
      </w:tr>
      <w:tr w:rsidR="00C27844" w:rsidRPr="00707812" w:rsidTr="00715AB2">
        <w:trPr>
          <w:trHeight w:val="16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Usi civici nel Lazio meridionale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VERDESI Alessia</w:t>
            </w:r>
          </w:p>
        </w:tc>
      </w:tr>
      <w:tr w:rsidR="00C27844" w:rsidRPr="00707812" w:rsidTr="00715AB2">
        <w:trPr>
          <w:trHeight w:val="1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Medievale e Moderno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Iconografia della giustizia e spazi del diritto nel XVIII e XIX secolo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GIALDRONI Stefania</w:t>
            </w:r>
          </w:p>
        </w:tc>
      </w:tr>
      <w:tr w:rsidR="00C27844" w:rsidRPr="00707812" w:rsidTr="00715AB2">
        <w:trPr>
          <w:trHeight w:val="18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Medievale e Moderno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cultura giuridica francese tra XIX e XX secolo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 CECCA Dario</w:t>
            </w:r>
          </w:p>
        </w:tc>
      </w:tr>
      <w:tr w:rsidR="00C27844" w:rsidRPr="00707812" w:rsidTr="00715AB2">
        <w:trPr>
          <w:trHeight w:val="27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Ecclesiastico (A-L)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Intermediazione assicurativa tra Diritto ecclesiastico e Diritto Canonico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CARNI’ Matteo</w:t>
            </w:r>
          </w:p>
        </w:tc>
      </w:tr>
      <w:tr w:rsidR="00C27844" w:rsidRPr="00707812" w:rsidTr="00715AB2">
        <w:trPr>
          <w:trHeight w:val="4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Ecclesiastico (M-Z)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Le minoranze religiose soggette alla Legge n. 1159 del 1929: riconoscimento giuridico, regolazione delle attività, modalità di finanziamento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CAMMAROTA Cristiana Maria</w:t>
            </w:r>
          </w:p>
        </w:tc>
      </w:tr>
      <w:tr w:rsidR="00C27844" w:rsidRPr="00707812" w:rsidTr="00715AB2">
        <w:trPr>
          <w:trHeight w:val="25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Canonico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Essenza del matrimonio canonico e recenti pronunce della Rota Romana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GHISONI Linda</w:t>
            </w:r>
          </w:p>
        </w:tc>
      </w:tr>
      <w:tr w:rsidR="00C27844" w:rsidRPr="00707812" w:rsidTr="00715AB2">
        <w:trPr>
          <w:trHeight w:val="26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Penale (A-L)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Il sistema sanzionatorio.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BRIZI Lorenzo </w:t>
            </w:r>
          </w:p>
        </w:tc>
      </w:tr>
      <w:tr w:rsidR="00C27844" w:rsidRPr="00707812" w:rsidTr="00715AB2">
        <w:trPr>
          <w:trHeight w:val="20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Diritto Commerciale I (A-D)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società e la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esdebitazione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CORDOPATRI Marina </w:t>
            </w:r>
          </w:p>
        </w:tc>
      </w:tr>
      <w:tr w:rsidR="00C27844" w:rsidRPr="00707812" w:rsidTr="00715AB2">
        <w:trPr>
          <w:trHeight w:val="139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 controlli nelle società per azioni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PROIETTI Regina</w:t>
            </w:r>
          </w:p>
        </w:tc>
      </w:tr>
      <w:tr w:rsidR="00C27844" w:rsidRPr="00707812" w:rsidTr="00715AB2">
        <w:trPr>
          <w:trHeight w:val="144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disciplina delle società pubbliche nel recente Testo Unico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PETTITI Priscilla </w:t>
            </w:r>
          </w:p>
        </w:tc>
      </w:tr>
      <w:tr w:rsidR="00C27844" w:rsidRPr="00707812" w:rsidTr="00715AB2">
        <w:trPr>
          <w:trHeight w:val="12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Amministrazioni e controlli nelle s.r.l.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SCALI Veronica</w:t>
            </w:r>
          </w:p>
        </w:tc>
      </w:tr>
      <w:tr w:rsidR="00C27844" w:rsidRPr="00707812" w:rsidTr="00715AB2">
        <w:trPr>
          <w:trHeight w:val="15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Le operazioni straordinarie nelle società di capitali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GIGANTE Mauro</w:t>
            </w:r>
          </w:p>
        </w:tc>
      </w:tr>
      <w:tr w:rsidR="00C27844" w:rsidRPr="00707812" w:rsidTr="00715AB2">
        <w:trPr>
          <w:trHeight w:val="168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Commerciale I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Mediazione e negoziazione dei conflitti nei rapporti d’impresa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MARIANELLO Marco</w:t>
            </w:r>
          </w:p>
        </w:tc>
      </w:tr>
      <w:tr w:rsidR="00C27844" w:rsidRPr="00707812" w:rsidTr="00715AB2">
        <w:trPr>
          <w:trHeight w:val="17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Funzioni del consiglio di amministrazione di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s.p.a.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 amministratori indipendenti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CHIAPPETTA Francesco Umile</w:t>
            </w:r>
          </w:p>
        </w:tc>
      </w:tr>
      <w:tr w:rsidR="00C27844" w:rsidRPr="00707812" w:rsidTr="00715AB2">
        <w:trPr>
          <w:trHeight w:val="176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Commerciale I 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Consob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 il prospetto informativo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STANZIONE Daniele</w:t>
            </w:r>
          </w:p>
        </w:tc>
      </w:tr>
      <w:tr w:rsidR="00C27844" w:rsidRPr="00707812" w:rsidTr="00715AB2">
        <w:trPr>
          <w:trHeight w:val="17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responsabilità  dei componenti l’organo di gestione di spa e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srl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nella prassi giurisprudenziale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ROMANO Guido </w:t>
            </w:r>
          </w:p>
        </w:tc>
      </w:tr>
      <w:tr w:rsidR="00C27844" w:rsidRPr="00707812" w:rsidTr="00715AB2">
        <w:trPr>
          <w:trHeight w:val="130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Amministrativo II  (A-L)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tutela dei controinteressati avverso le attività avviate con SCIA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STRAZZA Giordana </w:t>
            </w:r>
          </w:p>
        </w:tc>
      </w:tr>
      <w:tr w:rsidR="00C27844" w:rsidRPr="00707812" w:rsidTr="00715AB2">
        <w:trPr>
          <w:trHeight w:val="218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L’obbligo di provvedere della P.A.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POSTERARO Nicola</w:t>
            </w:r>
          </w:p>
        </w:tc>
      </w:tr>
      <w:tr w:rsidR="00C27844" w:rsidRPr="00707812" w:rsidTr="00715AB2">
        <w:trPr>
          <w:trHeight w:val="23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 principi del processo amministrativo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PIETROSANTI Anton Giulio </w:t>
            </w:r>
          </w:p>
        </w:tc>
      </w:tr>
      <w:tr w:rsidR="00C27844" w:rsidRPr="00707812" w:rsidTr="00715AB2">
        <w:trPr>
          <w:trHeight w:val="15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 rimedi alternativi alla tutela giurisdizionale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APERIO Bella Flaminia </w:t>
            </w:r>
          </w:p>
        </w:tc>
      </w:tr>
      <w:tr w:rsidR="00C27844" w:rsidRPr="00707812" w:rsidTr="00715AB2">
        <w:trPr>
          <w:trHeight w:val="150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Amministrativo II (M-Z)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trasparenza della Pubblica Amministrazione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RUBECHINI Francesco </w:t>
            </w:r>
          </w:p>
        </w:tc>
      </w:tr>
      <w:tr w:rsidR="00C27844" w:rsidRPr="00707812" w:rsidTr="00715AB2">
        <w:trPr>
          <w:trHeight w:val="155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L’influenza della giurisprudenza europea nel diritto amministrativo italiano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BONTEMPI Valerio </w:t>
            </w:r>
          </w:p>
        </w:tc>
      </w:tr>
      <w:tr w:rsidR="00C27844" w:rsidRPr="00707812" w:rsidTr="00715AB2">
        <w:trPr>
          <w:trHeight w:val="196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Regolazione economica e autorità indipendenti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TURCHINI Valerio</w:t>
            </w:r>
          </w:p>
        </w:tc>
      </w:tr>
      <w:tr w:rsidR="00C27844" w:rsidRPr="00707812" w:rsidTr="00715AB2">
        <w:trPr>
          <w:trHeight w:val="59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dell’ambiente e diritto amministrativo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CARBONARA Lorenzo</w:t>
            </w:r>
          </w:p>
        </w:tc>
      </w:tr>
      <w:tr w:rsidR="00C27844" w:rsidRPr="00707812" w:rsidTr="00715AB2">
        <w:trPr>
          <w:trHeight w:val="1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Penale II  (A-L)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Imputabilità e misure di sicurezza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LAURITO Alessandro </w:t>
            </w:r>
          </w:p>
        </w:tc>
      </w:tr>
      <w:tr w:rsidR="00C27844" w:rsidRPr="00707812" w:rsidTr="00715AB2">
        <w:trPr>
          <w:trHeight w:val="2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Romano  (A-L)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L’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aequitas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sistema delle fonti del diritto romano tra prassi e diritto prudenziale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GUIDA Giulia</w:t>
            </w:r>
          </w:p>
        </w:tc>
      </w:tr>
      <w:tr w:rsidR="00C27844" w:rsidRPr="00707812" w:rsidTr="00715AB2">
        <w:trPr>
          <w:trHeight w:val="18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Romano  (M-Z)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giurisprudenziale romano e metodo casistico: profili storici e attuali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GALEOTTI Sara</w:t>
            </w:r>
          </w:p>
        </w:tc>
      </w:tr>
      <w:tr w:rsidR="00C27844" w:rsidRPr="00707812" w:rsidTr="00715AB2">
        <w:trPr>
          <w:trHeight w:val="17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Internazionale (A-L)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sistema delle riparazioni per gravi violazioni di diritti umani nella prassi del sistema interamericano di protezione dei diritti umani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CAMPISI Maria Chiara</w:t>
            </w:r>
          </w:p>
        </w:tc>
      </w:tr>
      <w:tr w:rsidR="00C27844" w:rsidRPr="00707812" w:rsidTr="00715AB2">
        <w:trPr>
          <w:trHeight w:val="340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internazionale (M-Z)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BREXIT and the Impact on US-UE International Trade and Investment Negotiations (International Trade and Investment Law)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 STEFANO Carlo</w:t>
            </w:r>
          </w:p>
        </w:tc>
      </w:tr>
      <w:tr w:rsidR="00C27844" w:rsidRPr="00707812" w:rsidTr="00715AB2">
        <w:trPr>
          <w:trHeight w:val="358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contributo della Corte europea dei diritti dell’uomo alla interpretazione e alla formazione delle norme di diritto internazionale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335ED1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PIETRANGELI </w:t>
            </w:r>
            <w:bookmarkStart w:id="0" w:name="_GoBack"/>
            <w:bookmarkEnd w:id="0"/>
            <w:r w:rsidR="00C27844"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Francesca </w:t>
            </w:r>
          </w:p>
        </w:tc>
      </w:tr>
      <w:tr w:rsidR="00C27844" w:rsidRPr="00707812" w:rsidTr="00715AB2">
        <w:trPr>
          <w:trHeight w:val="2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Processuale Penale (A-D)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Misure di prevenzione e contrasto al terrorismo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PERUGIA Diletta </w:t>
            </w:r>
          </w:p>
        </w:tc>
      </w:tr>
      <w:tr w:rsidR="00C27844" w:rsidRPr="00707812" w:rsidTr="00715AB2">
        <w:trPr>
          <w:trHeight w:val="15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Processuale Penale  (E-O)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Cooperazione giudiziaria in materia processuale penale e nuove tecnologie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PITTIRUTI Marco</w:t>
            </w:r>
          </w:p>
        </w:tc>
      </w:tr>
      <w:tr w:rsidR="00C27844" w:rsidRPr="00707812" w:rsidTr="00715AB2">
        <w:trPr>
          <w:trHeight w:val="119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Processuale Penale  (P-Z)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Processo penale e diritti dell’imputato straniero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PERUGIA Diletta </w:t>
            </w:r>
          </w:p>
        </w:tc>
      </w:tr>
      <w:tr w:rsidR="00C27844" w:rsidRPr="00707812" w:rsidTr="00715AB2">
        <w:trPr>
          <w:trHeight w:val="136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Digital </w:t>
            </w:r>
            <w:proofErr w:type="spellStart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garanzie difensive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PITTIRUTI Marco</w:t>
            </w:r>
          </w:p>
        </w:tc>
      </w:tr>
      <w:tr w:rsidR="00C27844" w:rsidRPr="00707812" w:rsidTr="00715AB2">
        <w:trPr>
          <w:trHeight w:val="3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 Diritto Medievale e Moderno  L14   (A-Z)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L’Italia della Restaurazione tra diritto patrio, diritto comune e codificazione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NOTARI Sandro</w:t>
            </w:r>
          </w:p>
        </w:tc>
      </w:tr>
      <w:tr w:rsidR="00C27844" w:rsidRPr="00707812" w:rsidTr="00715AB2">
        <w:trPr>
          <w:trHeight w:val="28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Corso di preparazione allo svolgimento di prove scritte e alla redazione di atti e pareri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ZAMPETTI Enrico </w:t>
            </w:r>
          </w:p>
        </w:tc>
      </w:tr>
      <w:tr w:rsidR="00C27844" w:rsidRPr="00707812" w:rsidTr="00715AB2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 Civile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Corso di preparazione allo svolgimento di prove scritte e alla redazione di atti e pareri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CERRI Francesca </w:t>
            </w:r>
          </w:p>
        </w:tc>
      </w:tr>
      <w:tr w:rsidR="00C27844" w:rsidRPr="00707812" w:rsidTr="00715AB2">
        <w:trPr>
          <w:trHeight w:val="28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Logica e argomentazione giuridica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sentenza come decisione motivata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SPINA Simone </w:t>
            </w:r>
          </w:p>
        </w:tc>
      </w:tr>
      <w:tr w:rsidR="00C27844" w:rsidRPr="00707812" w:rsidTr="00715AB2">
        <w:trPr>
          <w:trHeight w:val="176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Clinica del diritto dell’immigrazione e della cittadinanza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Cliniche legali e diritto dell’immigrazione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 GIOVANNI Jacopo</w:t>
            </w:r>
          </w:p>
        </w:tc>
      </w:tr>
      <w:tr w:rsidR="00C27844" w:rsidRPr="00707812" w:rsidTr="00715AB2">
        <w:trPr>
          <w:trHeight w:val="18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La prospettiva di genere nell’insegnamento delle cliniche legali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MONTELLA Tatiana</w:t>
            </w:r>
          </w:p>
        </w:tc>
      </w:tr>
      <w:tr w:rsidR="00C27844" w:rsidRPr="00707812" w:rsidTr="00715AB2">
        <w:trPr>
          <w:trHeight w:val="257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Protezione dei dati personali e tutela dei diritti fondamentali-</w:t>
            </w: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Clinica legale privacy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Profili applicativi della protezione dei dati personali nei provvedimenti dell’Autorità Garante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SESSO Olga</w:t>
            </w:r>
          </w:p>
        </w:tc>
      </w:tr>
      <w:tr w:rsidR="00C27844" w:rsidRPr="00707812" w:rsidTr="00715AB2">
        <w:trPr>
          <w:trHeight w:val="15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Casi e materiali di diritto alla protezione dei dati personali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TIMIANI Matteo </w:t>
            </w:r>
          </w:p>
        </w:tc>
      </w:tr>
    </w:tbl>
    <w:p w:rsidR="00C27844" w:rsidRPr="00707812" w:rsidRDefault="00C27844" w:rsidP="00C278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5103"/>
        <w:gridCol w:w="2410"/>
      </w:tblGrid>
      <w:tr w:rsidR="00C27844" w:rsidRPr="00707812" w:rsidTr="00715AB2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BANDO  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Corso ufficiale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candidati</w:t>
            </w:r>
          </w:p>
        </w:tc>
      </w:tr>
      <w:tr w:rsidR="00C27844" w:rsidRPr="00707812" w:rsidTr="00715AB2">
        <w:trPr>
          <w:trHeight w:val="2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Corso di preparazione allo svolgimento di prove scritte e alla redazione di atti e pareri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4" w:rsidRPr="00707812" w:rsidRDefault="00C27844" w:rsidP="00715A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LIPARI Marco </w:t>
            </w:r>
          </w:p>
        </w:tc>
      </w:tr>
    </w:tbl>
    <w:p w:rsidR="00C27844" w:rsidRPr="00707812" w:rsidRDefault="00C27844" w:rsidP="00C278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Consiglio di Dipartimento approva all’unanimità. </w:t>
      </w:r>
    </w:p>
    <w:p w:rsidR="00C27844" w:rsidRPr="00707812" w:rsidRDefault="00C27844" w:rsidP="00C278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C27844" w:rsidRPr="00C27844" w:rsidRDefault="00C27844" w:rsidP="00C278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27844">
        <w:rPr>
          <w:rFonts w:ascii="Times New Roman" w:eastAsia="Times New Roman" w:hAnsi="Times New Roman" w:cs="Times New Roman"/>
          <w:bCs/>
          <w:sz w:val="20"/>
          <w:szCs w:val="20"/>
        </w:rPr>
        <w:t>(omissis)</w:t>
      </w:r>
    </w:p>
    <w:p w:rsidR="00C27844" w:rsidRPr="00707812" w:rsidRDefault="00C27844" w:rsidP="00C278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C27844" w:rsidRPr="00707812" w:rsidRDefault="00C27844" w:rsidP="00C27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>Null’altro essendovi da deliberare, il Direttore alle ore 15.30 dichiara sciolta la seduta.</w:t>
      </w: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27844" w:rsidRPr="00707812" w:rsidRDefault="00C27844" w:rsidP="00C2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Segretario per la Didattica </w:t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781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 Direttore </w:t>
      </w:r>
    </w:p>
    <w:p w:rsidR="00C27844" w:rsidRPr="00707812" w:rsidRDefault="00C27844" w:rsidP="00C278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812">
        <w:rPr>
          <w:rFonts w:ascii="Times New Roman" w:eastAsia="Calibri" w:hAnsi="Times New Roman" w:cs="Times New Roman"/>
          <w:sz w:val="20"/>
          <w:szCs w:val="20"/>
        </w:rPr>
        <w:t>Dott.ssa Angela De Vito</w:t>
      </w:r>
      <w:r w:rsidRPr="00707812">
        <w:rPr>
          <w:rFonts w:ascii="Times New Roman" w:eastAsia="Calibri" w:hAnsi="Times New Roman" w:cs="Times New Roman"/>
          <w:sz w:val="20"/>
          <w:szCs w:val="20"/>
        </w:rPr>
        <w:tab/>
      </w:r>
      <w:r w:rsidRPr="00707812">
        <w:rPr>
          <w:rFonts w:ascii="Times New Roman" w:eastAsia="Calibri" w:hAnsi="Times New Roman" w:cs="Times New Roman"/>
          <w:sz w:val="20"/>
          <w:szCs w:val="20"/>
        </w:rPr>
        <w:tab/>
      </w:r>
      <w:r w:rsidRPr="00707812">
        <w:rPr>
          <w:rFonts w:ascii="Times New Roman" w:eastAsia="Calibri" w:hAnsi="Times New Roman" w:cs="Times New Roman"/>
          <w:sz w:val="20"/>
          <w:szCs w:val="20"/>
        </w:rPr>
        <w:tab/>
        <w:t xml:space="preserve">           Prof. Giovanni Serges</w:t>
      </w:r>
    </w:p>
    <w:p w:rsidR="00C27844" w:rsidRPr="00707812" w:rsidRDefault="00C27844" w:rsidP="00C278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7844" w:rsidRPr="00707812" w:rsidRDefault="00C27844" w:rsidP="00C278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7844" w:rsidRPr="00707812" w:rsidRDefault="00C27844" w:rsidP="00C27844">
      <w:pPr>
        <w:rPr>
          <w:sz w:val="20"/>
          <w:szCs w:val="20"/>
        </w:rPr>
      </w:pPr>
    </w:p>
    <w:p w:rsidR="00A77238" w:rsidRDefault="00A77238"/>
    <w:sectPr w:rsidR="00A77238" w:rsidSect="007E3F0D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21" w:rsidRDefault="00046B21">
      <w:pPr>
        <w:spacing w:after="0" w:line="240" w:lineRule="auto"/>
      </w:pPr>
      <w:r>
        <w:separator/>
      </w:r>
    </w:p>
  </w:endnote>
  <w:endnote w:type="continuationSeparator" w:id="0">
    <w:p w:rsidR="00046B21" w:rsidRDefault="0004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7780"/>
      <w:docPartObj>
        <w:docPartGallery w:val="Page Numbers (Bottom of Page)"/>
        <w:docPartUnique/>
      </w:docPartObj>
    </w:sdtPr>
    <w:sdtEndPr/>
    <w:sdtContent>
      <w:p w:rsidR="00E2346C" w:rsidRDefault="00C2784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D1">
          <w:rPr>
            <w:noProof/>
          </w:rPr>
          <w:t>3</w:t>
        </w:r>
        <w:r>
          <w:fldChar w:fldCharType="end"/>
        </w:r>
      </w:p>
    </w:sdtContent>
  </w:sdt>
  <w:p w:rsidR="00E2346C" w:rsidRDefault="00046B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21" w:rsidRDefault="00046B21">
      <w:pPr>
        <w:spacing w:after="0" w:line="240" w:lineRule="auto"/>
      </w:pPr>
      <w:r>
        <w:separator/>
      </w:r>
    </w:p>
  </w:footnote>
  <w:footnote w:type="continuationSeparator" w:id="0">
    <w:p w:rsidR="00046B21" w:rsidRDefault="0004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21"/>
    <w:multiLevelType w:val="hybridMultilevel"/>
    <w:tmpl w:val="1D583E7A"/>
    <w:lvl w:ilvl="0" w:tplc="326227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6F3"/>
    <w:multiLevelType w:val="multilevel"/>
    <w:tmpl w:val="84BA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8151D"/>
    <w:multiLevelType w:val="hybridMultilevel"/>
    <w:tmpl w:val="68C81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4"/>
    <w:rsid w:val="00046B21"/>
    <w:rsid w:val="00335ED1"/>
    <w:rsid w:val="00A77238"/>
    <w:rsid w:val="00C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844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27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8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844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27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8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</cp:lastModifiedBy>
  <cp:revision>2</cp:revision>
  <dcterms:created xsi:type="dcterms:W3CDTF">2017-09-14T10:14:00Z</dcterms:created>
  <dcterms:modified xsi:type="dcterms:W3CDTF">2017-09-18T08:26:00Z</dcterms:modified>
</cp:coreProperties>
</file>